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rPr>
          <w:rStyle w:val="woj"/>
          <w:rtl w:val="0"/>
          <w:lang w:val="en-US"/>
        </w:rPr>
        <w:t>First Fruits First</w:t>
        <w:tab/>
        <w:tab/>
        <w:tab/>
        <w:t>It Produces Much Grain</w:t>
        <w:tab/>
        <w:tab/>
        <w:tab/>
        <w:t>July 1, 2025</w:t>
      </w:r>
    </w:p>
    <w:p>
      <w:pPr>
        <w:pStyle w:val="Body"/>
      </w:pPr>
    </w:p>
    <w:p>
      <w:pPr>
        <w:pStyle w:val="Body"/>
        <w:jc w:val="center"/>
        <w:rPr>
          <w:i w:val="1"/>
          <w:iCs w:val="1"/>
        </w:rPr>
      </w:pPr>
      <w:r>
        <w:rPr>
          <w:rStyle w:val="woj"/>
          <w:rtl w:val="1"/>
          <w:lang w:val="ar-SA" w:bidi="ar-SA"/>
        </w:rPr>
        <w:t>“</w:t>
      </w:r>
      <w:r>
        <w:rPr>
          <w:i w:val="1"/>
          <w:iCs w:val="1"/>
          <w:rtl w:val="0"/>
          <w:lang w:val="en-US"/>
        </w:rPr>
        <w:t xml:space="preserve">Most assuredly, I say to you, </w:t>
      </w:r>
    </w:p>
    <w:p>
      <w:pPr>
        <w:pStyle w:val="Body"/>
        <w:jc w:val="center"/>
        <w:rPr>
          <w:i w:val="1"/>
          <w:iCs w:val="1"/>
        </w:rPr>
      </w:pPr>
      <w:r>
        <w:rPr>
          <w:i w:val="1"/>
          <w:iCs w:val="1"/>
          <w:rtl w:val="1"/>
        </w:rPr>
        <w:t>‘</w:t>
      </w:r>
      <w:r>
        <w:rPr>
          <w:i w:val="1"/>
          <w:iCs w:val="1"/>
          <w:rtl w:val="0"/>
          <w:lang w:val="en-US"/>
        </w:rPr>
        <w:t xml:space="preserve">Unless a grain of wheat falls into the ground and dies, it remains alone; </w:t>
      </w:r>
    </w:p>
    <w:p>
      <w:pPr>
        <w:pStyle w:val="Body"/>
        <w:jc w:val="center"/>
        <w:rPr>
          <w:i w:val="1"/>
          <w:iCs w:val="1"/>
        </w:rPr>
      </w:pPr>
      <w:r>
        <w:rPr>
          <w:i w:val="1"/>
          <w:iCs w:val="1"/>
          <w:rtl w:val="0"/>
          <w:lang w:val="en-US"/>
        </w:rPr>
        <w:t>but if it dies, it produces much grain.</w:t>
      </w:r>
      <w:r>
        <w:rPr>
          <w:i w:val="1"/>
          <w:iCs w:val="1"/>
          <w:rtl w:val="1"/>
        </w:rPr>
        <w:t>’</w:t>
      </w:r>
      <w:r>
        <w:rPr>
          <w:rStyle w:val="woj"/>
          <w:rtl w:val="0"/>
        </w:rPr>
        <w:t>”</w:t>
      </w:r>
    </w:p>
    <w:p>
      <w:pPr>
        <w:pStyle w:val="Body"/>
        <w:jc w:val="center"/>
        <w:rPr>
          <w:i w:val="1"/>
          <w:iCs w:val="1"/>
        </w:rPr>
      </w:pPr>
      <w:r>
        <w:rPr>
          <w:rStyle w:val="woj"/>
          <w:rtl w:val="0"/>
          <w:lang w:val="pt-PT"/>
        </w:rPr>
        <w:t>[John 12:24]</w:t>
      </w:r>
    </w:p>
    <w:p>
      <w:pPr>
        <w:pStyle w:val="Body"/>
      </w:pPr>
    </w:p>
    <w:p>
      <w:pPr>
        <w:pStyle w:val="Body"/>
        <w:rPr>
          <w:rFonts w:ascii="Segoe UI" w:cs="Segoe UI" w:hAnsi="Segoe UI" w:eastAsia="Segoe UI"/>
          <w:outline w:val="0"/>
          <w:color w:val="000000"/>
          <w:u w:color="000000"/>
          <w14:textFill>
            <w14:solidFill>
              <w14:srgbClr w14:val="000000"/>
            </w14:solidFill>
          </w14:textFill>
        </w:rPr>
      </w:pPr>
      <w:r>
        <w:rPr>
          <w:rFonts w:ascii="Segoe UI" w:cs="Segoe UI" w:hAnsi="Segoe UI" w:eastAsia="Segoe UI"/>
          <w:outline w:val="0"/>
          <w:color w:val="000000"/>
          <w:u w:color="000000"/>
          <w:rtl w:val="0"/>
          <w:lang w:val="en-US"/>
          <w14:textFill>
            <w14:solidFill>
              <w14:srgbClr w14:val="000000"/>
            </w14:solidFill>
          </w14:textFill>
        </w:rPr>
        <w:t xml:space="preserve">This scripture begs the question, </w:t>
      </w:r>
      <w:r>
        <w:rPr>
          <w:rFonts w:ascii="Segoe UI" w:cs="Segoe UI" w:hAnsi="Segoe UI" w:eastAsia="Segoe UI"/>
          <w:outline w:val="0"/>
          <w:color w:val="000000"/>
          <w:u w:color="000000"/>
          <w:rtl w:val="0"/>
          <w:lang w:val="en-US"/>
          <w14:textFill>
            <w14:solidFill>
              <w14:srgbClr w14:val="000000"/>
            </w14:solidFill>
          </w14:textFill>
        </w:rPr>
        <w:t>“</w:t>
      </w:r>
      <w:r>
        <w:rPr>
          <w:rFonts w:ascii="Segoe UI" w:cs="Segoe UI" w:hAnsi="Segoe UI" w:eastAsia="Segoe UI"/>
          <w:outline w:val="0"/>
          <w:color w:val="000000"/>
          <w:u w:color="000000"/>
          <w:rtl w:val="0"/>
          <w:lang w:val="en-US"/>
          <w14:textFill>
            <w14:solidFill>
              <w14:srgbClr w14:val="000000"/>
            </w14:solidFill>
          </w14:textFill>
        </w:rPr>
        <w:t>How can death lead to multiplication?</w:t>
      </w:r>
      <w:r>
        <w:rPr>
          <w:rFonts w:ascii="Segoe UI" w:cs="Segoe UI" w:hAnsi="Segoe UI" w:eastAsia="Segoe UI"/>
          <w:outline w:val="0"/>
          <w:color w:val="000000"/>
          <w:u w:color="000000"/>
          <w:rtl w:val="0"/>
          <w:lang w:val="en-US"/>
          <w14:textFill>
            <w14:solidFill>
              <w14:srgbClr w14:val="000000"/>
            </w14:solidFill>
          </w14:textFill>
        </w:rPr>
        <w:t xml:space="preserve">” </w:t>
      </w:r>
      <w:r>
        <w:rPr>
          <w:rFonts w:ascii="Segoe UI" w:cs="Segoe UI" w:hAnsi="Segoe UI" w:eastAsia="Segoe UI"/>
          <w:outline w:val="0"/>
          <w:color w:val="000000"/>
          <w:u w:color="000000"/>
          <w:rtl w:val="0"/>
          <w:lang w:val="en-US"/>
          <w14:textFill>
            <w14:solidFill>
              <w14:srgbClr w14:val="000000"/>
            </w14:solidFill>
          </w14:textFill>
        </w:rPr>
        <w:t>This is a parable which demands some time to ponder. It</w:t>
      </w:r>
      <w:r>
        <w:rPr>
          <w:rFonts w:ascii="Segoe UI" w:cs="Segoe UI" w:hAnsi="Segoe UI" w:eastAsia="Segoe UI"/>
          <w:outline w:val="0"/>
          <w:color w:val="000000"/>
          <w:u w:color="000000"/>
          <w:rtl w:val="0"/>
          <w:lang w:val="en-US"/>
          <w14:textFill>
            <w14:solidFill>
              <w14:srgbClr w14:val="000000"/>
            </w14:solidFill>
          </w14:textFill>
        </w:rPr>
        <w:t>’</w:t>
      </w:r>
      <w:r>
        <w:rPr>
          <w:rFonts w:ascii="Segoe UI" w:cs="Segoe UI" w:hAnsi="Segoe UI" w:eastAsia="Segoe UI"/>
          <w:outline w:val="0"/>
          <w:color w:val="000000"/>
          <w:u w:color="000000"/>
          <w:rtl w:val="0"/>
          <w:lang w:val="en-US"/>
          <w14:textFill>
            <w14:solidFill>
              <w14:srgbClr w14:val="000000"/>
            </w14:solidFill>
          </w14:textFill>
        </w:rPr>
        <w:t>s not that we don</w:t>
      </w:r>
      <w:r>
        <w:rPr>
          <w:rFonts w:ascii="Segoe UI" w:cs="Segoe UI" w:hAnsi="Segoe UI" w:eastAsia="Segoe UI"/>
          <w:outline w:val="0"/>
          <w:color w:val="000000"/>
          <w:u w:color="000000"/>
          <w:rtl w:val="0"/>
          <w:lang w:val="en-US"/>
          <w14:textFill>
            <w14:solidFill>
              <w14:srgbClr w14:val="000000"/>
            </w14:solidFill>
          </w14:textFill>
        </w:rPr>
        <w:t>’</w:t>
      </w:r>
      <w:r>
        <w:rPr>
          <w:rFonts w:ascii="Segoe UI" w:cs="Segoe UI" w:hAnsi="Segoe UI" w:eastAsia="Segoe UI"/>
          <w:outline w:val="0"/>
          <w:color w:val="000000"/>
          <w:u w:color="000000"/>
          <w:rtl w:val="0"/>
          <w:lang w:val="en-US"/>
          <w14:textFill>
            <w14:solidFill>
              <w14:srgbClr w14:val="000000"/>
            </w14:solidFill>
          </w14:textFill>
        </w:rPr>
        <w:t>t understand that a seed must be planted to multiply. That</w:t>
      </w:r>
      <w:r>
        <w:rPr>
          <w:rFonts w:ascii="Segoe UI" w:cs="Segoe UI" w:hAnsi="Segoe UI" w:eastAsia="Segoe UI"/>
          <w:outline w:val="0"/>
          <w:color w:val="000000"/>
          <w:u w:color="000000"/>
          <w:rtl w:val="0"/>
          <w:lang w:val="en-US"/>
          <w14:textFill>
            <w14:solidFill>
              <w14:srgbClr w14:val="000000"/>
            </w14:solidFill>
          </w14:textFill>
        </w:rPr>
        <w:t>’</w:t>
      </w:r>
      <w:r>
        <w:rPr>
          <w:rFonts w:ascii="Segoe UI" w:cs="Segoe UI" w:hAnsi="Segoe UI" w:eastAsia="Segoe UI"/>
          <w:outline w:val="0"/>
          <w:color w:val="000000"/>
          <w:u w:color="000000"/>
          <w:rtl w:val="0"/>
          <w:lang w:val="en-US"/>
          <w14:textFill>
            <w14:solidFill>
              <w14:srgbClr w14:val="000000"/>
            </w14:solidFill>
          </w14:textFill>
        </w:rPr>
        <w:t>s obvious.</w:t>
      </w:r>
    </w:p>
    <w:p>
      <w:pPr>
        <w:pStyle w:val="Body"/>
        <w:rPr>
          <w:rFonts w:ascii="Segoe UI" w:cs="Segoe UI" w:hAnsi="Segoe UI" w:eastAsia="Segoe UI"/>
          <w:outline w:val="0"/>
          <w:color w:val="000000"/>
          <w:u w:color="000000"/>
          <w14:textFill>
            <w14:solidFill>
              <w14:srgbClr w14:val="000000"/>
            </w14:solidFill>
          </w14:textFill>
        </w:rPr>
      </w:pPr>
    </w:p>
    <w:p>
      <w:pPr>
        <w:pStyle w:val="Body"/>
        <w:rPr>
          <w:rFonts w:ascii="Segoe UI" w:cs="Segoe UI" w:hAnsi="Segoe UI" w:eastAsia="Segoe UI"/>
          <w:outline w:val="0"/>
          <w:color w:val="000000"/>
          <w:u w:color="000000"/>
          <w14:textFill>
            <w14:solidFill>
              <w14:srgbClr w14:val="000000"/>
            </w14:solidFill>
          </w14:textFill>
        </w:rPr>
      </w:pPr>
      <w:r>
        <w:rPr>
          <w:rFonts w:ascii="Segoe UI" w:cs="Segoe UI" w:hAnsi="Segoe UI" w:eastAsia="Segoe UI"/>
          <w:outline w:val="0"/>
          <w:color w:val="000000"/>
          <w:u w:color="000000"/>
          <w:rtl w:val="0"/>
          <w:lang w:val="en-US"/>
          <w14:textFill>
            <w14:solidFill>
              <w14:srgbClr w14:val="000000"/>
            </w14:solidFill>
          </w14:textFill>
        </w:rPr>
        <w:t>The challenge presents itself as we contemplate how dying is seen as more favorable than living. How can we advance the Kingdom of God more effectively if we</w:t>
      </w:r>
      <w:r>
        <w:rPr>
          <w:rFonts w:ascii="Segoe UI" w:cs="Segoe UI" w:hAnsi="Segoe UI" w:eastAsia="Segoe UI"/>
          <w:outline w:val="0"/>
          <w:color w:val="000000"/>
          <w:u w:color="000000"/>
          <w:rtl w:val="0"/>
          <w:lang w:val="en-US"/>
          <w14:textFill>
            <w14:solidFill>
              <w14:srgbClr w14:val="000000"/>
            </w14:solidFill>
          </w14:textFill>
        </w:rPr>
        <w:t>’</w:t>
      </w:r>
      <w:r>
        <w:rPr>
          <w:rFonts w:ascii="Segoe UI" w:cs="Segoe UI" w:hAnsi="Segoe UI" w:eastAsia="Segoe UI"/>
          <w:outline w:val="0"/>
          <w:color w:val="000000"/>
          <w:u w:color="000000"/>
          <w:rtl w:val="0"/>
          <w:lang w:val="en-US"/>
          <w14:textFill>
            <w14:solidFill>
              <w14:srgbClr w14:val="000000"/>
            </w14:solidFill>
          </w14:textFill>
        </w:rPr>
        <w:t>re not present in the body?</w:t>
      </w:r>
    </w:p>
    <w:p>
      <w:pPr>
        <w:pStyle w:val="Body"/>
        <w:rPr>
          <w:rFonts w:ascii="Segoe UI" w:cs="Segoe UI" w:hAnsi="Segoe UI" w:eastAsia="Segoe UI"/>
          <w:outline w:val="0"/>
          <w:color w:val="000000"/>
          <w:u w:color="000000"/>
          <w14:textFill>
            <w14:solidFill>
              <w14:srgbClr w14:val="000000"/>
            </w14:solidFill>
          </w14:textFill>
        </w:rPr>
      </w:pPr>
    </w:p>
    <w:p>
      <w:pPr>
        <w:pStyle w:val="Body"/>
        <w:rPr>
          <w:rFonts w:ascii="Segoe UI" w:cs="Segoe UI" w:hAnsi="Segoe UI" w:eastAsia="Segoe UI"/>
          <w:outline w:val="0"/>
          <w:color w:val="000000"/>
          <w:u w:color="000000"/>
          <w14:textFill>
            <w14:solidFill>
              <w14:srgbClr w14:val="000000"/>
            </w14:solidFill>
          </w14:textFill>
        </w:rPr>
      </w:pPr>
      <w:r>
        <w:rPr>
          <w:rFonts w:ascii="Segoe UI" w:cs="Segoe UI" w:hAnsi="Segoe UI" w:eastAsia="Segoe UI"/>
          <w:outline w:val="0"/>
          <w:color w:val="000000"/>
          <w:u w:color="000000"/>
          <w:rtl w:val="0"/>
          <w:lang w:val="en-US"/>
          <w14:textFill>
            <w14:solidFill>
              <w14:srgbClr w14:val="000000"/>
            </w14:solidFill>
          </w14:textFill>
        </w:rPr>
        <w:t>The likely answer appears to be that an untethered soul is no longer limited by physical stature, thus able to move freely. Such a perspective gives one pause to wonder about the nature of the heavenly realm.</w:t>
      </w:r>
    </w:p>
    <w:p>
      <w:pPr>
        <w:pStyle w:val="Body"/>
        <w:rPr>
          <w:rFonts w:ascii="Segoe UI" w:cs="Segoe UI" w:hAnsi="Segoe UI" w:eastAsia="Segoe UI"/>
          <w:outline w:val="0"/>
          <w:color w:val="000000"/>
          <w:u w:color="000000"/>
          <w14:textFill>
            <w14:solidFill>
              <w14:srgbClr w14:val="000000"/>
            </w14:solidFill>
          </w14:textFill>
        </w:rPr>
      </w:pPr>
    </w:p>
    <w:p>
      <w:pPr>
        <w:pStyle w:val="Body"/>
        <w:rPr>
          <w:rFonts w:ascii="Segoe UI" w:cs="Segoe UI" w:hAnsi="Segoe UI" w:eastAsia="Segoe UI"/>
          <w:outline w:val="0"/>
          <w:color w:val="000000"/>
          <w:u w:color="000000"/>
          <w14:textFill>
            <w14:solidFill>
              <w14:srgbClr w14:val="000000"/>
            </w14:solidFill>
          </w14:textFill>
        </w:rPr>
      </w:pPr>
      <w:r>
        <w:rPr>
          <w:rFonts w:ascii="Segoe UI" w:cs="Segoe UI" w:hAnsi="Segoe UI" w:eastAsia="Segoe UI"/>
          <w:outline w:val="0"/>
          <w:color w:val="000000"/>
          <w:u w:color="000000"/>
          <w:rtl w:val="0"/>
          <w:lang w:val="en-US"/>
          <w14:textFill>
            <w14:solidFill>
              <w14:srgbClr w14:val="000000"/>
            </w14:solidFill>
          </w14:textFill>
        </w:rPr>
        <w:t xml:space="preserve">Indeed, Yeshua was pointing to His heavenly advancement after death, which would be inextricably attached to His pre-ordained earthly sacrifice. Our Lord knew of His coming sacrifice; and how His resurrection would lead us to reconsider the mystery of entering the afterlife. All who breathe inevitably contemplate our future resting place. </w:t>
      </w:r>
    </w:p>
    <w:p>
      <w:pPr>
        <w:pStyle w:val="Body"/>
        <w:rPr>
          <w:rFonts w:ascii="Segoe UI" w:cs="Segoe UI" w:hAnsi="Segoe UI" w:eastAsia="Segoe UI"/>
          <w:outline w:val="0"/>
          <w:color w:val="000000"/>
          <w:u w:color="000000"/>
          <w14:textFill>
            <w14:solidFill>
              <w14:srgbClr w14:val="000000"/>
            </w14:solidFill>
          </w14:textFill>
        </w:rPr>
      </w:pPr>
    </w:p>
    <w:p>
      <w:pPr>
        <w:pStyle w:val="Body"/>
        <w:rPr>
          <w:rFonts w:ascii="Segoe UI" w:cs="Segoe UI" w:hAnsi="Segoe UI" w:eastAsia="Segoe UI"/>
          <w:outline w:val="0"/>
          <w:color w:val="000000"/>
          <w:u w:color="000000"/>
          <w14:textFill>
            <w14:solidFill>
              <w14:srgbClr w14:val="000000"/>
            </w14:solidFill>
          </w14:textFill>
        </w:rPr>
      </w:pPr>
      <w:r>
        <w:rPr>
          <w:rFonts w:ascii="Segoe UI" w:cs="Segoe UI" w:hAnsi="Segoe UI" w:eastAsia="Segoe UI"/>
          <w:outline w:val="0"/>
          <w:color w:val="000000"/>
          <w:u w:color="000000"/>
          <w:rtl w:val="0"/>
          <w:lang w:val="en-US"/>
          <w14:textFill>
            <w14:solidFill>
              <w14:srgbClr w14:val="000000"/>
            </w14:solidFill>
          </w14:textFill>
        </w:rPr>
        <w:t>It is in death that our story becomes compressed, gains its edge and builds momentum. Hebrews reminds us that a testament requires the death of the testator. Without this culmination of life, it isn</w:t>
      </w:r>
      <w:r>
        <w:rPr>
          <w:rFonts w:ascii="Segoe UI" w:cs="Segoe UI" w:hAnsi="Segoe UI" w:eastAsia="Segoe UI"/>
          <w:outline w:val="0"/>
          <w:color w:val="000000"/>
          <w:u w:color="000000"/>
          <w:rtl w:val="0"/>
          <w:lang w:val="en-US"/>
          <w14:textFill>
            <w14:solidFill>
              <w14:srgbClr w14:val="000000"/>
            </w14:solidFill>
          </w14:textFill>
        </w:rPr>
        <w:t>’</w:t>
      </w:r>
      <w:r>
        <w:rPr>
          <w:rFonts w:ascii="Segoe UI" w:cs="Segoe UI" w:hAnsi="Segoe UI" w:eastAsia="Segoe UI"/>
          <w:outline w:val="0"/>
          <w:color w:val="000000"/>
          <w:u w:color="000000"/>
          <w:rtl w:val="0"/>
          <w:lang w:val="en-US"/>
          <w14:textFill>
            <w14:solidFill>
              <w14:srgbClr w14:val="000000"/>
            </w14:solidFill>
          </w14:textFill>
        </w:rPr>
        <w:t>t possible to claim the power and authority that testament contains.</w:t>
      </w:r>
    </w:p>
    <w:p>
      <w:pPr>
        <w:pStyle w:val="Body"/>
        <w:rPr>
          <w:rFonts w:ascii="Segoe UI" w:cs="Segoe UI" w:hAnsi="Segoe UI" w:eastAsia="Segoe UI"/>
          <w:outline w:val="0"/>
          <w:color w:val="000000"/>
          <w:u w:color="000000"/>
          <w14:textFill>
            <w14:solidFill>
              <w14:srgbClr w14:val="000000"/>
            </w14:solidFill>
          </w14:textFill>
        </w:rPr>
      </w:pPr>
    </w:p>
    <w:p>
      <w:pPr>
        <w:pStyle w:val="Body"/>
        <w:rPr>
          <w:rFonts w:ascii="Segoe UI" w:cs="Segoe UI" w:hAnsi="Segoe UI" w:eastAsia="Segoe UI"/>
          <w:outline w:val="0"/>
          <w:color w:val="000000"/>
          <w:u w:color="000000"/>
          <w14:textFill>
            <w14:solidFill>
              <w14:srgbClr w14:val="000000"/>
            </w14:solidFill>
          </w14:textFill>
        </w:rPr>
      </w:pPr>
      <w:r>
        <w:rPr>
          <w:rFonts w:ascii="Segoe UI" w:cs="Segoe UI" w:hAnsi="Segoe UI" w:eastAsia="Segoe UI"/>
          <w:outline w:val="0"/>
          <w:color w:val="000000"/>
          <w:u w:color="000000"/>
          <w:rtl w:val="0"/>
          <w:lang w:val="en-US"/>
          <w14:textFill>
            <w14:solidFill>
              <w14:srgbClr w14:val="000000"/>
            </w14:solidFill>
          </w14:textFill>
        </w:rPr>
        <w:t>Our lives are living testaments, forged in the crucible of every saint</w:t>
      </w:r>
      <w:r>
        <w:rPr>
          <w:rFonts w:ascii="Segoe UI" w:cs="Segoe UI" w:hAnsi="Segoe UI" w:eastAsia="Segoe UI"/>
          <w:outline w:val="0"/>
          <w:color w:val="000000"/>
          <w:u w:color="000000"/>
          <w:rtl w:val="0"/>
          <w:lang w:val="en-US"/>
          <w14:textFill>
            <w14:solidFill>
              <w14:srgbClr w14:val="000000"/>
            </w14:solidFill>
          </w14:textFill>
        </w:rPr>
        <w:t>’</w:t>
      </w:r>
      <w:r>
        <w:rPr>
          <w:rFonts w:ascii="Segoe UI" w:cs="Segoe UI" w:hAnsi="Segoe UI" w:eastAsia="Segoe UI"/>
          <w:outline w:val="0"/>
          <w:color w:val="000000"/>
          <w:u w:color="000000"/>
          <w:rtl w:val="0"/>
          <w:lang w:val="en-US"/>
          <w14:textFill>
            <w14:solidFill>
              <w14:srgbClr w14:val="000000"/>
            </w14:solidFill>
          </w14:textFill>
        </w:rPr>
        <w:t xml:space="preserve">s walk of faith, as observed by the cloud of witnesses. Yeshua is living proof that His death would lead to glory. He was glorified, then He gave us the glory that His Father gave to Him. </w:t>
      </w:r>
    </w:p>
    <w:p>
      <w:pPr>
        <w:pStyle w:val="Body"/>
        <w:rPr>
          <w:rFonts w:ascii="Segoe UI" w:cs="Segoe UI" w:hAnsi="Segoe UI" w:eastAsia="Segoe UI"/>
          <w:outline w:val="0"/>
          <w:color w:val="000000"/>
          <w:u w:color="000000"/>
          <w14:textFill>
            <w14:solidFill>
              <w14:srgbClr w14:val="000000"/>
            </w14:solidFill>
          </w14:textFill>
        </w:rPr>
      </w:pPr>
    </w:p>
    <w:p>
      <w:pPr>
        <w:pStyle w:val="Body"/>
      </w:pPr>
      <w:r>
        <w:rPr>
          <w:rFonts w:ascii="Segoe UI" w:cs="Segoe UI" w:hAnsi="Segoe UI" w:eastAsia="Segoe UI"/>
          <w:outline w:val="0"/>
          <w:color w:val="000000"/>
          <w:u w:color="000000"/>
          <w:rtl w:val="0"/>
          <w:lang w:val="en-US"/>
          <w14:textFill>
            <w14:solidFill>
              <w14:srgbClr w14:val="000000"/>
            </w14:solidFill>
          </w14:textFill>
        </w:rPr>
        <w:t xml:space="preserve">Our witness of our faith in God is our willingness to die </w:t>
      </w:r>
      <w:r>
        <w:rPr>
          <w:rFonts w:ascii="Segoe UI" w:cs="Segoe UI" w:hAnsi="Segoe UI" w:eastAsia="Segoe UI"/>
          <w:outline w:val="0"/>
          <w:color w:val="000000"/>
          <w:u w:color="000000"/>
          <w:rtl w:val="0"/>
          <w:lang w:val="en-US"/>
          <w14:textFill>
            <w14:solidFill>
              <w14:srgbClr w14:val="000000"/>
            </w14:solidFill>
          </w14:textFill>
        </w:rPr>
        <w:t xml:space="preserve">– </w:t>
      </w:r>
      <w:r>
        <w:rPr>
          <w:rFonts w:ascii="Segoe UI" w:cs="Segoe UI" w:hAnsi="Segoe UI" w:eastAsia="Segoe UI"/>
          <w:outline w:val="0"/>
          <w:color w:val="000000"/>
          <w:u w:color="000000"/>
          <w:rtl w:val="0"/>
          <w:lang w:val="en-US"/>
          <w14:textFill>
            <w14:solidFill>
              <w14:srgbClr w14:val="000000"/>
            </w14:solidFill>
          </w14:textFill>
        </w:rPr>
        <w:t>to see that death is graduation into a greater realm of glory. Now we grasp the revelation: the goal of each believer</w:t>
      </w:r>
      <w:r>
        <w:rPr>
          <w:rFonts w:ascii="Segoe UI" w:cs="Segoe UI" w:hAnsi="Segoe UI" w:eastAsia="Segoe UI"/>
          <w:outline w:val="0"/>
          <w:color w:val="000000"/>
          <w:u w:color="000000"/>
          <w:rtl w:val="0"/>
          <w:lang w:val="en-US"/>
          <w14:textFill>
            <w14:solidFill>
              <w14:srgbClr w14:val="000000"/>
            </w14:solidFill>
          </w14:textFill>
        </w:rPr>
        <w:t>’</w:t>
      </w:r>
      <w:r>
        <w:rPr>
          <w:rFonts w:ascii="Segoe UI" w:cs="Segoe UI" w:hAnsi="Segoe UI" w:eastAsia="Segoe UI"/>
          <w:outline w:val="0"/>
          <w:color w:val="000000"/>
          <w:u w:color="000000"/>
          <w:rtl w:val="0"/>
          <w:lang w:val="en-US"/>
          <w14:textFill>
            <w14:solidFill>
              <w14:srgbClr w14:val="000000"/>
            </w14:solidFill>
          </w14:textFill>
        </w:rPr>
        <w:t>s seed is to die as God</w:t>
      </w:r>
      <w:r>
        <w:rPr>
          <w:rFonts w:ascii="Segoe UI" w:cs="Segoe UI" w:hAnsi="Segoe UI" w:eastAsia="Segoe UI"/>
          <w:outline w:val="0"/>
          <w:color w:val="000000"/>
          <w:u w:color="000000"/>
          <w:rtl w:val="0"/>
          <w:lang w:val="en-US"/>
          <w14:textFill>
            <w14:solidFill>
              <w14:srgbClr w14:val="000000"/>
            </w14:solidFill>
          </w14:textFill>
        </w:rPr>
        <w:t>’</w:t>
      </w:r>
      <w:r>
        <w:rPr>
          <w:rFonts w:ascii="Segoe UI" w:cs="Segoe UI" w:hAnsi="Segoe UI" w:eastAsia="Segoe UI"/>
          <w:outline w:val="0"/>
          <w:color w:val="000000"/>
          <w:u w:color="000000"/>
          <w:rtl w:val="0"/>
          <w:lang w:val="en-US"/>
          <w14:textFill>
            <w14:solidFill>
              <w14:srgbClr w14:val="000000"/>
            </w14:solidFill>
          </w14:textFill>
        </w:rPr>
        <w:t>s Firstfruit died, that much seed would then be produced. We receive this glorious testament as seed for the Kingdom of God. We manifest our King</w:t>
      </w:r>
      <w:r>
        <w:rPr>
          <w:rFonts w:ascii="Segoe UI" w:cs="Segoe UI" w:hAnsi="Segoe UI" w:eastAsia="Segoe UI"/>
          <w:outline w:val="0"/>
          <w:color w:val="000000"/>
          <w:u w:color="000000"/>
          <w:rtl w:val="0"/>
          <w:lang w:val="en-US"/>
          <w14:textFill>
            <w14:solidFill>
              <w14:srgbClr w14:val="000000"/>
            </w14:solidFill>
          </w14:textFill>
        </w:rPr>
        <w:t>’</w:t>
      </w:r>
      <w:r>
        <w:rPr>
          <w:rFonts w:ascii="Segoe UI" w:cs="Segoe UI" w:hAnsi="Segoe UI" w:eastAsia="Segoe UI"/>
          <w:outline w:val="0"/>
          <w:color w:val="000000"/>
          <w:u w:color="000000"/>
          <w:rtl w:val="0"/>
          <w:lang w:val="en-US"/>
          <w14:textFill>
            <w14:solidFill>
              <w14:srgbClr w14:val="000000"/>
            </w14:solidFill>
          </w14:textFill>
        </w:rPr>
        <w:t>s glory in the way we live and we magnify His glory in the fruitfulness of death.</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Segoe U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woj">
    <w:name w:val="woj"/>
    <w:rPr>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